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980" w:hRule="atLeast"/>
          <w:tblHeader w:val="0"/>
        </w:trPr>
        <w:tc>
          <w:tcPr>
            <w:shd w:fill="e7e6e6" w:val="clear"/>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2371090</wp:posOffset>
                  </wp:positionH>
                  <wp:positionV relativeFrom="paragraph">
                    <wp:posOffset>-914398</wp:posOffset>
                  </wp:positionV>
                  <wp:extent cx="914400" cy="903605"/>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14400" cy="903605"/>
                          </a:xfrm>
                          <a:prstGeom prst="rect"/>
                          <a:ln/>
                        </pic:spPr>
                      </pic:pic>
                    </a:graphicData>
                  </a:graphic>
                </wp:anchor>
              </w:drawing>
            </w:r>
          </w:p>
        </w:tc>
      </w:tr>
    </w:tbl>
    <w:p w:rsidR="00000000" w:rsidDel="00000000" w:rsidP="00000000" w:rsidRDefault="00000000" w:rsidRPr="00000000" w14:paraId="00000003">
      <w:pPr>
        <w:jc w:val="center"/>
        <w:rPr>
          <w:b w:val="1"/>
          <w:sz w:val="24"/>
          <w:szCs w:val="24"/>
          <w:u w:val="single"/>
        </w:rPr>
      </w:pPr>
      <w:r w:rsidDel="00000000" w:rsidR="00000000" w:rsidRPr="00000000">
        <w:rPr>
          <w:b w:val="1"/>
          <w:sz w:val="24"/>
          <w:szCs w:val="24"/>
          <w:u w:val="single"/>
          <w:rtl w:val="0"/>
        </w:rPr>
        <w:t xml:space="preserve">Non-Conflict of Interest Verification</w:t>
      </w:r>
    </w:p>
    <w:p w:rsidR="00000000" w:rsidDel="00000000" w:rsidP="00000000" w:rsidRDefault="00000000" w:rsidRPr="00000000" w14:paraId="00000004">
      <w:pPr>
        <w:rPr>
          <w:b w:val="1"/>
        </w:rPr>
      </w:pPr>
      <w:r w:rsidDel="00000000" w:rsidR="00000000" w:rsidRPr="00000000">
        <w:rPr>
          <w:b w:val="1"/>
          <w:u w:val="single"/>
          <w:rtl w:val="0"/>
        </w:rPr>
        <w:t xml:space="preserve">Date:</w:t>
      </w:r>
      <w:r w:rsidDel="00000000" w:rsidR="00000000" w:rsidRPr="00000000">
        <w:rPr>
          <w:b w:val="1"/>
          <w:rtl w:val="0"/>
        </w:rPr>
        <w:tab/>
        <w:t xml:space="preserve">xx/xx/xxxx</w:t>
        <w:tab/>
        <w:tab/>
        <w:tab/>
        <w:tab/>
        <w:tab/>
        <w:tab/>
        <w:tab/>
        <w:tab/>
        <w:t xml:space="preserve">PR#:</w:t>
      </w:r>
    </w:p>
    <w:p w:rsidR="00000000" w:rsidDel="00000000" w:rsidP="00000000" w:rsidRDefault="00000000" w:rsidRPr="00000000" w14:paraId="00000005">
      <w:pPr>
        <w:rPr>
          <w:b w:val="1"/>
          <w:u w:val="single"/>
        </w:rPr>
      </w:pPr>
      <w:r w:rsidDel="00000000" w:rsidR="00000000" w:rsidRPr="00000000">
        <w:rPr>
          <w:b w:val="1"/>
          <w:u w:val="single"/>
          <w:rtl w:val="0"/>
        </w:rPr>
        <w:t xml:space="preserve">Suppliers List</w:t>
      </w:r>
    </w:p>
    <w:p w:rsidR="00000000" w:rsidDel="00000000" w:rsidP="00000000" w:rsidRDefault="00000000" w:rsidRPr="00000000" w14:paraId="00000006">
      <w:pPr>
        <w:jc w:val="center"/>
        <w:rPr>
          <w:b w:val="1"/>
          <w:u w:val="single"/>
        </w:rPr>
      </w:pPr>
      <w:r w:rsidDel="00000000" w:rsidR="00000000" w:rsidRPr="00000000">
        <w:rPr>
          <w:rtl w:val="0"/>
        </w:rPr>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07">
            <w:pPr>
              <w:rPr/>
            </w:pPr>
            <w:r w:rsidDel="00000000" w:rsidR="00000000" w:rsidRPr="00000000">
              <w:rPr>
                <w:rtl w:val="0"/>
              </w:rPr>
              <w:t xml:space="preserve">Supplier 1</w:t>
            </w:r>
          </w:p>
        </w:tc>
        <w:tc>
          <w:tcPr/>
          <w:p w:rsidR="00000000" w:rsidDel="00000000" w:rsidP="00000000" w:rsidRDefault="00000000" w:rsidRPr="00000000" w14:paraId="00000008">
            <w:pPr>
              <w:rPr/>
            </w:pPr>
            <w:r w:rsidDel="00000000" w:rsidR="00000000" w:rsidRPr="00000000">
              <w:rPr>
                <w:rtl w:val="0"/>
              </w:rPr>
              <w:t xml:space="preserve">Supplier 2</w:t>
            </w:r>
          </w:p>
        </w:tc>
        <w:tc>
          <w:tcPr/>
          <w:p w:rsidR="00000000" w:rsidDel="00000000" w:rsidP="00000000" w:rsidRDefault="00000000" w:rsidRPr="00000000" w14:paraId="00000009">
            <w:pPr>
              <w:rPr/>
            </w:pPr>
            <w:r w:rsidDel="00000000" w:rsidR="00000000" w:rsidRPr="00000000">
              <w:rPr>
                <w:rtl w:val="0"/>
              </w:rPr>
              <w:t xml:space="preserve">Supplier 3</w:t>
            </w:r>
          </w:p>
        </w:tc>
        <w:tc>
          <w:tcPr/>
          <w:p w:rsidR="00000000" w:rsidDel="00000000" w:rsidP="00000000" w:rsidRDefault="00000000" w:rsidRPr="00000000" w14:paraId="0000000A">
            <w:pPr>
              <w:rPr/>
            </w:pPr>
            <w:r w:rsidDel="00000000" w:rsidR="00000000" w:rsidRPr="00000000">
              <w:rPr>
                <w:rtl w:val="0"/>
              </w:rPr>
              <w:t xml:space="preserve">Supplier 4</w:t>
            </w:r>
          </w:p>
        </w:tc>
        <w:tc>
          <w:tcPr/>
          <w:p w:rsidR="00000000" w:rsidDel="00000000" w:rsidP="00000000" w:rsidRDefault="00000000" w:rsidRPr="00000000" w14:paraId="0000000B">
            <w:pPr>
              <w:rPr/>
            </w:pPr>
            <w:r w:rsidDel="00000000" w:rsidR="00000000" w:rsidRPr="00000000">
              <w:rPr>
                <w:rtl w:val="0"/>
              </w:rPr>
              <w:t xml:space="preserve">Supplier 5</w:t>
            </w:r>
          </w:p>
        </w:tc>
      </w:tr>
      <w:tr>
        <w:trPr>
          <w:cantSplit w:val="0"/>
          <w:trHeight w:val="719" w:hRule="atLeast"/>
          <w:tblHeader w:val="0"/>
        </w:trPr>
        <w:tc>
          <w:tcPr/>
          <w:p w:rsidR="00000000" w:rsidDel="00000000" w:rsidP="00000000" w:rsidRDefault="00000000" w:rsidRPr="00000000" w14:paraId="0000000C">
            <w:pPr>
              <w:rPr/>
            </w:pPr>
            <w:r w:rsidDel="00000000" w:rsidR="00000000" w:rsidRPr="00000000">
              <w:rPr>
                <w:rtl w:val="0"/>
              </w:rPr>
            </w:r>
          </w:p>
        </w:tc>
        <w:tc>
          <w:tcPr/>
          <w:p w:rsidR="00000000" w:rsidDel="00000000" w:rsidP="00000000" w:rsidRDefault="00000000" w:rsidRPr="00000000" w14:paraId="0000000D">
            <w:pPr>
              <w:rPr/>
            </w:pP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r>
          </w:p>
        </w:tc>
        <w:tc>
          <w:tcPr/>
          <w:p w:rsidR="00000000" w:rsidDel="00000000" w:rsidP="00000000" w:rsidRDefault="00000000" w:rsidRPr="00000000" w14:paraId="00000010">
            <w:pPr>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As per the Procurement code of ethics followed in our organization, “section 4.3 “,</w:t>
      </w:r>
    </w:p>
    <w:p w:rsidR="00000000" w:rsidDel="00000000" w:rsidP="00000000" w:rsidRDefault="00000000" w:rsidRPr="00000000" w14:paraId="00000013">
      <w:pPr>
        <w:rPr/>
      </w:pPr>
      <w:r w:rsidDel="00000000" w:rsidR="00000000" w:rsidRPr="00000000">
        <w:rPr>
          <w:rtl w:val="0"/>
        </w:rPr>
        <w:t xml:space="preserve">All decision-making and actions related to procurement must be impartial, unbiased and aimed at serving the B&amp;Z’s best interests. A conflict of interests arises when a person has a private, financial or professional interest that can influence or be perceived as influencing the impartiality or loyalty that is required from him/her in a given context. Such interests may result notably from personal relations, financial participation or public or private involvement of the person or of his/her close relatives. When dealing with suppliers, potential conflicts of interests may arise. Employees must report in writing to their line manager any potential or actual conflict of interests affecting them or any supplier and specify the nature of such conflict as soon as they are aware of it, believe it is likely to arise or that a situation may be perceived as such.</w:t>
      </w:r>
    </w:p>
    <w:p w:rsidR="00000000" w:rsidDel="00000000" w:rsidP="00000000" w:rsidRDefault="00000000" w:rsidRPr="00000000" w14:paraId="00000014">
      <w:pPr>
        <w:rPr/>
      </w:pPr>
      <w:r w:rsidDel="00000000" w:rsidR="00000000" w:rsidRPr="00000000">
        <w:rPr>
          <w:rtl w:val="0"/>
        </w:rPr>
        <w:t xml:space="preserve">We, the undersigned, pledge our commitment to all of the above and to all provisions of the Basmeh and Zeitooneh “Procurement Code of Ethics”, and confirm that there is no relationship with the suppliers mentioned above.</w:t>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rHeight w:val="630" w:hRule="atLeast"/>
          <w:tblHeader w:val="0"/>
        </w:trPr>
        <w:tc>
          <w:tcPr/>
          <w:p w:rsidR="00000000" w:rsidDel="00000000" w:rsidP="00000000" w:rsidRDefault="00000000" w:rsidRPr="00000000" w14:paraId="00000015">
            <w:pPr>
              <w:jc w:val="center"/>
              <w:rPr>
                <w:b w:val="1"/>
                <w:u w:val="single"/>
              </w:rPr>
            </w:pPr>
            <w:r w:rsidDel="00000000" w:rsidR="00000000" w:rsidRPr="00000000">
              <w:rPr>
                <w:b w:val="1"/>
                <w:u w:val="single"/>
                <w:rtl w:val="0"/>
              </w:rPr>
              <w:t xml:space="preserve">Name</w:t>
            </w:r>
          </w:p>
        </w:tc>
        <w:tc>
          <w:tcPr/>
          <w:p w:rsidR="00000000" w:rsidDel="00000000" w:rsidP="00000000" w:rsidRDefault="00000000" w:rsidRPr="00000000" w14:paraId="00000016">
            <w:pPr>
              <w:jc w:val="center"/>
              <w:rPr>
                <w:b w:val="1"/>
                <w:u w:val="single"/>
              </w:rPr>
            </w:pPr>
            <w:r w:rsidDel="00000000" w:rsidR="00000000" w:rsidRPr="00000000">
              <w:rPr>
                <w:b w:val="1"/>
                <w:u w:val="single"/>
                <w:rtl w:val="0"/>
              </w:rPr>
              <w:t xml:space="preserve">Position</w:t>
            </w:r>
          </w:p>
        </w:tc>
        <w:tc>
          <w:tcPr/>
          <w:p w:rsidR="00000000" w:rsidDel="00000000" w:rsidP="00000000" w:rsidRDefault="00000000" w:rsidRPr="00000000" w14:paraId="00000017">
            <w:pPr>
              <w:jc w:val="center"/>
              <w:rPr>
                <w:b w:val="1"/>
                <w:u w:val="single"/>
              </w:rPr>
            </w:pPr>
            <w:r w:rsidDel="00000000" w:rsidR="00000000" w:rsidRPr="00000000">
              <w:rPr>
                <w:b w:val="1"/>
                <w:u w:val="single"/>
                <w:rtl w:val="0"/>
              </w:rPr>
              <w:t xml:space="preserve">Date</w:t>
            </w:r>
          </w:p>
        </w:tc>
        <w:tc>
          <w:tcPr/>
          <w:p w:rsidR="00000000" w:rsidDel="00000000" w:rsidP="00000000" w:rsidRDefault="00000000" w:rsidRPr="00000000" w14:paraId="00000018">
            <w:pPr>
              <w:jc w:val="center"/>
              <w:rPr>
                <w:b w:val="1"/>
                <w:u w:val="single"/>
              </w:rPr>
            </w:pPr>
            <w:r w:rsidDel="00000000" w:rsidR="00000000" w:rsidRPr="00000000">
              <w:rPr>
                <w:b w:val="1"/>
                <w:u w:val="single"/>
                <w:rtl w:val="0"/>
              </w:rPr>
              <w:t xml:space="preserve">Signature</w:t>
            </w:r>
          </w:p>
        </w:tc>
      </w:tr>
      <w:tr>
        <w:trPr>
          <w:cantSplit w:val="0"/>
          <w:trHeight w:val="665" w:hRule="atLeast"/>
          <w:tblHeader w:val="0"/>
        </w:trPr>
        <w:tc>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r>
          </w:p>
        </w:tc>
        <w:tc>
          <w:tcPr/>
          <w:p w:rsidR="00000000" w:rsidDel="00000000" w:rsidP="00000000" w:rsidRDefault="00000000" w:rsidRPr="00000000" w14:paraId="0000001C">
            <w:pPr>
              <w:rPr/>
            </w:pPr>
            <w:r w:rsidDel="00000000" w:rsidR="00000000" w:rsidRPr="00000000">
              <w:rPr>
                <w:rtl w:val="0"/>
              </w:rPr>
            </w:r>
          </w:p>
        </w:tc>
      </w:tr>
      <w:tr>
        <w:trPr>
          <w:cantSplit w:val="0"/>
          <w:trHeight w:val="665" w:hRule="atLeast"/>
          <w:tblHeader w:val="0"/>
        </w:trPr>
        <w:tc>
          <w:tcPr/>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r>
          </w:p>
        </w:tc>
      </w:tr>
      <w:tr>
        <w:trPr>
          <w:cantSplit w:val="0"/>
          <w:trHeight w:val="665" w:hRule="atLeast"/>
          <w:tblHeader w:val="0"/>
        </w:trPr>
        <w:tc>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pPr>
            <w:bookmarkStart w:colFirst="0" w:colLast="0" w:name="_heading=h.gjdgxs" w:id="0"/>
            <w:bookmarkEnd w:id="0"/>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r>
          </w:p>
        </w:tc>
      </w:tr>
      <w:tr>
        <w:trPr>
          <w:cantSplit w:val="0"/>
          <w:trHeight w:val="665" w:hRule="atLeast"/>
          <w:tblHeader w:val="0"/>
        </w:trPr>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t xml:space="preserve">Procurement Signature:</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A066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4F3AB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F3AB3"/>
    <w:rPr>
      <w:rFonts w:ascii="Segoe UI" w:cs="Segoe UI" w:hAnsi="Segoe UI"/>
      <w:sz w:val="18"/>
      <w:szCs w:val="18"/>
    </w:rPr>
  </w:style>
  <w:style w:type="paragraph" w:styleId="Header">
    <w:name w:val="header"/>
    <w:basedOn w:val="Normal"/>
    <w:link w:val="HeaderChar"/>
    <w:uiPriority w:val="99"/>
    <w:unhideWhenUsed w:val="1"/>
    <w:rsid w:val="0096559E"/>
    <w:pPr>
      <w:tabs>
        <w:tab w:val="center" w:pos="4320"/>
        <w:tab w:val="right" w:pos="8640"/>
      </w:tabs>
      <w:spacing w:after="0" w:line="240" w:lineRule="auto"/>
    </w:pPr>
  </w:style>
  <w:style w:type="character" w:styleId="HeaderChar" w:customStyle="1">
    <w:name w:val="Header Char"/>
    <w:basedOn w:val="DefaultParagraphFont"/>
    <w:link w:val="Header"/>
    <w:uiPriority w:val="99"/>
    <w:rsid w:val="0096559E"/>
  </w:style>
  <w:style w:type="paragraph" w:styleId="Footer">
    <w:name w:val="footer"/>
    <w:basedOn w:val="Normal"/>
    <w:link w:val="FooterChar"/>
    <w:uiPriority w:val="99"/>
    <w:unhideWhenUsed w:val="1"/>
    <w:rsid w:val="0096559E"/>
    <w:pPr>
      <w:tabs>
        <w:tab w:val="center" w:pos="4320"/>
        <w:tab w:val="right" w:pos="8640"/>
      </w:tabs>
      <w:spacing w:after="0" w:line="240" w:lineRule="auto"/>
    </w:pPr>
  </w:style>
  <w:style w:type="character" w:styleId="FooterChar" w:customStyle="1">
    <w:name w:val="Footer Char"/>
    <w:basedOn w:val="DefaultParagraphFont"/>
    <w:link w:val="Footer"/>
    <w:uiPriority w:val="99"/>
    <w:rsid w:val="0096559E"/>
  </w:style>
  <w:style w:type="paragraph" w:styleId="NormalWeb">
    <w:name w:val="Normal (Web)"/>
    <w:basedOn w:val="Normal"/>
    <w:uiPriority w:val="99"/>
    <w:unhideWhenUsed w:val="1"/>
    <w:rsid w:val="001E16E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qveoWzvjkQkGAgUDGg/ajQwDQ==">CgMxLjAyCGguZ2pkZ3hzOAByITE3OXdPR2R0Y0J2MU50Y1dhQWM3M3p5bFh4aEwxS1hMcQ==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2022-09-20T06:33:00Z</dcterms:created>
  <dc:creator>Logistics</dc:creator>
</cp:coreProperties>
</file>